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FD" w:rsidRPr="00DA47FD" w:rsidRDefault="00F16DDA" w:rsidP="00DA47FD">
      <w:pPr>
        <w:spacing w:after="0" w:line="240" w:lineRule="auto"/>
        <w:jc w:val="center"/>
        <w:rPr>
          <w:rFonts w:ascii="Arial" w:hAnsi="Arial" w:cs="Arial"/>
          <w:b/>
        </w:rPr>
      </w:pPr>
      <w:bookmarkStart w:id="0" w:name="_GoBack"/>
      <w:r w:rsidRPr="00C02E67">
        <w:rPr>
          <w:noProof/>
          <w:lang w:eastAsia="tr-TR"/>
        </w:rPr>
        <w:drawing>
          <wp:inline distT="0" distB="0" distL="0" distR="0">
            <wp:extent cx="6076950" cy="15995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77353" cy="1599671"/>
                    </a:xfrm>
                    <a:prstGeom prst="rect">
                      <a:avLst/>
                    </a:prstGeom>
                    <a:noFill/>
                    <a:ln>
                      <a:noFill/>
                    </a:ln>
                  </pic:spPr>
                </pic:pic>
              </a:graphicData>
            </a:graphic>
          </wp:inline>
        </w:drawing>
      </w:r>
    </w:p>
    <w:p w:rsidR="00DA47FD" w:rsidRPr="00DA47FD" w:rsidRDefault="00DA47FD" w:rsidP="00DA47FD">
      <w:pPr>
        <w:spacing w:after="0" w:line="240" w:lineRule="auto"/>
        <w:jc w:val="center"/>
        <w:rPr>
          <w:rFonts w:ascii="Arial" w:hAnsi="Arial" w:cs="Arial"/>
          <w:b/>
        </w:rPr>
      </w:pPr>
    </w:p>
    <w:p w:rsidR="00DA47FD" w:rsidRPr="00DA47FD" w:rsidRDefault="00DA47FD" w:rsidP="00F16DDA">
      <w:pPr>
        <w:spacing w:after="0" w:line="240" w:lineRule="auto"/>
        <w:ind w:right="-284"/>
        <w:jc w:val="center"/>
        <w:rPr>
          <w:rFonts w:ascii="Arial" w:hAnsi="Arial" w:cs="Arial"/>
          <w:b/>
        </w:rPr>
      </w:pPr>
    </w:p>
    <w:p w:rsidR="008958F5" w:rsidRPr="00DA47FD" w:rsidRDefault="008958F5" w:rsidP="00DA47FD">
      <w:pPr>
        <w:spacing w:after="0" w:line="240" w:lineRule="auto"/>
        <w:jc w:val="center"/>
        <w:rPr>
          <w:rFonts w:ascii="Arial" w:hAnsi="Arial" w:cs="Arial"/>
          <w:b/>
        </w:rPr>
      </w:pPr>
      <w:r w:rsidRPr="00DA47FD">
        <w:rPr>
          <w:rFonts w:ascii="Arial" w:hAnsi="Arial" w:cs="Arial"/>
          <w:b/>
        </w:rPr>
        <w:t>OHAL HUKUKSUZLUĞU MAHKEMELER ELİYLE DEVAM EDİYOR</w:t>
      </w:r>
    </w:p>
    <w:p w:rsidR="00DA47FD" w:rsidRPr="00DA47FD" w:rsidRDefault="00DA47FD" w:rsidP="008F1B08">
      <w:pPr>
        <w:jc w:val="both"/>
        <w:rPr>
          <w:rFonts w:ascii="Arial" w:hAnsi="Arial" w:cs="Arial"/>
          <w:b/>
        </w:rPr>
      </w:pPr>
    </w:p>
    <w:p w:rsidR="00A64863" w:rsidRPr="00DA47FD" w:rsidRDefault="00A64863" w:rsidP="008F1B08">
      <w:pPr>
        <w:jc w:val="both"/>
        <w:rPr>
          <w:rFonts w:ascii="Arial" w:hAnsi="Arial" w:cs="Arial"/>
        </w:rPr>
      </w:pPr>
      <w:r w:rsidRPr="00DA47FD">
        <w:rPr>
          <w:rFonts w:ascii="Arial" w:hAnsi="Arial" w:cs="Arial"/>
        </w:rPr>
        <w:t xml:space="preserve">23 Mayıs </w:t>
      </w:r>
      <w:r w:rsidR="008F1B08" w:rsidRPr="00DA47FD">
        <w:rPr>
          <w:rFonts w:ascii="Arial" w:hAnsi="Arial" w:cs="Arial"/>
        </w:rPr>
        <w:t xml:space="preserve">2019 </w:t>
      </w:r>
      <w:r w:rsidRPr="00DA47FD">
        <w:rPr>
          <w:rFonts w:ascii="Arial" w:hAnsi="Arial" w:cs="Arial"/>
        </w:rPr>
        <w:t xml:space="preserve">tarihinde yaptığımız basın açıklamasında </w:t>
      </w:r>
      <w:r w:rsidR="008F1B08" w:rsidRPr="00DA47FD">
        <w:rPr>
          <w:rFonts w:ascii="Arial" w:hAnsi="Arial" w:cs="Arial"/>
        </w:rPr>
        <w:t>OHAL Komisyonu</w:t>
      </w:r>
      <w:r w:rsidR="00A02627">
        <w:rPr>
          <w:rFonts w:ascii="Arial" w:hAnsi="Arial" w:cs="Arial"/>
        </w:rPr>
        <w:t>’</w:t>
      </w:r>
      <w:r w:rsidR="008F1B08" w:rsidRPr="00DA47FD">
        <w:rPr>
          <w:rFonts w:ascii="Arial" w:hAnsi="Arial" w:cs="Arial"/>
        </w:rPr>
        <w:t xml:space="preserve">nun </w:t>
      </w:r>
      <w:r w:rsidRPr="00DA47FD">
        <w:rPr>
          <w:rFonts w:ascii="Arial" w:hAnsi="Arial" w:cs="Arial"/>
        </w:rPr>
        <w:t xml:space="preserve">üyelerimizin başvurularının reddine dair 44 kararı değerlendirerek </w:t>
      </w:r>
      <w:r w:rsidR="00A02627">
        <w:rPr>
          <w:rFonts w:ascii="Arial" w:hAnsi="Arial" w:cs="Arial"/>
        </w:rPr>
        <w:t>k</w:t>
      </w:r>
      <w:r w:rsidRPr="00DA47FD">
        <w:rPr>
          <w:rFonts w:ascii="Arial" w:hAnsi="Arial" w:cs="Arial"/>
        </w:rPr>
        <w:t>omisyonunun OHAL hukuksuzluğunu sürdürdüğünü belirtmiştik.</w:t>
      </w:r>
    </w:p>
    <w:p w:rsidR="00356309" w:rsidRPr="00DA47FD" w:rsidRDefault="00A145A8" w:rsidP="008F1B08">
      <w:pPr>
        <w:jc w:val="both"/>
        <w:rPr>
          <w:rFonts w:ascii="Arial" w:hAnsi="Arial" w:cs="Arial"/>
        </w:rPr>
      </w:pPr>
      <w:proofErr w:type="gramStart"/>
      <w:r w:rsidRPr="00DA47FD">
        <w:rPr>
          <w:rFonts w:ascii="Arial" w:hAnsi="Arial" w:cs="Arial"/>
        </w:rPr>
        <w:t xml:space="preserve">OHAL Komisyonu 28.06.2019 tarihinde </w:t>
      </w:r>
      <w:r w:rsidR="00A02627">
        <w:rPr>
          <w:rFonts w:ascii="Arial" w:hAnsi="Arial" w:cs="Arial"/>
        </w:rPr>
        <w:t>k</w:t>
      </w:r>
      <w:r w:rsidRPr="00DA47FD">
        <w:rPr>
          <w:rFonts w:ascii="Arial" w:hAnsi="Arial" w:cs="Arial"/>
        </w:rPr>
        <w:t xml:space="preserve">omisyon kararlarına ilişkin yaptığı açıklamada </w:t>
      </w:r>
      <w:r w:rsidR="007A64EF" w:rsidRPr="00DA47FD">
        <w:rPr>
          <w:rFonts w:ascii="Arial" w:hAnsi="Arial" w:cs="Arial"/>
          <w:bCs/>
        </w:rPr>
        <w:t>28.06.</w:t>
      </w:r>
      <w:r w:rsidRPr="00DA47FD">
        <w:rPr>
          <w:rFonts w:ascii="Arial" w:hAnsi="Arial" w:cs="Arial"/>
          <w:bCs/>
        </w:rPr>
        <w:t>2019 </w:t>
      </w:r>
      <w:r w:rsidRPr="00DA47FD">
        <w:rPr>
          <w:rFonts w:ascii="Arial" w:hAnsi="Arial" w:cs="Arial"/>
        </w:rPr>
        <w:t xml:space="preserve">tarihi itibariyle </w:t>
      </w:r>
      <w:r w:rsidR="00A02627">
        <w:rPr>
          <w:rFonts w:ascii="Arial" w:hAnsi="Arial" w:cs="Arial"/>
        </w:rPr>
        <w:t>k</w:t>
      </w:r>
      <w:r w:rsidRPr="00DA47FD">
        <w:rPr>
          <w:rFonts w:ascii="Arial" w:hAnsi="Arial" w:cs="Arial"/>
        </w:rPr>
        <w:t xml:space="preserve">omisyona yapılan başvuru sayısının </w:t>
      </w:r>
      <w:r w:rsidRPr="00DA47FD">
        <w:rPr>
          <w:rFonts w:ascii="Arial" w:hAnsi="Arial" w:cs="Arial"/>
          <w:bCs/>
        </w:rPr>
        <w:t>126.200</w:t>
      </w:r>
      <w:r w:rsidRPr="00DA47FD">
        <w:rPr>
          <w:rFonts w:ascii="Arial" w:hAnsi="Arial" w:cs="Arial"/>
        </w:rPr>
        <w:t xml:space="preserve"> olduğunu, </w:t>
      </w:r>
      <w:r w:rsidR="00A02627">
        <w:rPr>
          <w:rFonts w:ascii="Arial" w:hAnsi="Arial" w:cs="Arial"/>
          <w:bCs/>
        </w:rPr>
        <w:t>k</w:t>
      </w:r>
      <w:r w:rsidRPr="00DA47FD">
        <w:rPr>
          <w:rFonts w:ascii="Arial" w:hAnsi="Arial" w:cs="Arial"/>
          <w:bCs/>
        </w:rPr>
        <w:t>omisyonun 28.06.2019 tarihine kadar 6.000’i kabul, 71.900’u ret </w:t>
      </w:r>
      <w:r w:rsidRPr="00DA47FD">
        <w:rPr>
          <w:rFonts w:ascii="Arial" w:hAnsi="Arial" w:cs="Arial"/>
        </w:rPr>
        <w:t>olmak üzere toplam </w:t>
      </w:r>
      <w:r w:rsidRPr="00DA47FD">
        <w:rPr>
          <w:rFonts w:ascii="Arial" w:hAnsi="Arial" w:cs="Arial"/>
          <w:bCs/>
        </w:rPr>
        <w:t>77.900</w:t>
      </w:r>
      <w:r w:rsidRPr="00DA47FD">
        <w:rPr>
          <w:rFonts w:ascii="Arial" w:hAnsi="Arial" w:cs="Arial"/>
        </w:rPr>
        <w:t xml:space="preserve"> başvuruya ilişkin karar verdiğini, incelemesi devam eden başvuru sayısının </w:t>
      </w:r>
      <w:r w:rsidRPr="00DA47FD">
        <w:rPr>
          <w:rFonts w:ascii="Arial" w:hAnsi="Arial" w:cs="Arial"/>
          <w:bCs/>
        </w:rPr>
        <w:t xml:space="preserve">48.300 olduğunu açıkladı. </w:t>
      </w:r>
      <w:proofErr w:type="gramEnd"/>
      <w:r w:rsidRPr="00DA47FD">
        <w:rPr>
          <w:rFonts w:ascii="Arial" w:hAnsi="Arial" w:cs="Arial"/>
        </w:rPr>
        <w:t xml:space="preserve">Açıklamada </w:t>
      </w:r>
      <w:r w:rsidR="00A02627">
        <w:rPr>
          <w:rFonts w:ascii="Arial" w:hAnsi="Arial" w:cs="Arial"/>
        </w:rPr>
        <w:t>k</w:t>
      </w:r>
      <w:r w:rsidRPr="00DA47FD">
        <w:rPr>
          <w:rFonts w:ascii="Arial" w:hAnsi="Arial" w:cs="Arial"/>
        </w:rPr>
        <w:t>omisyonun karar vermeye başladığı tarihten itibaren </w:t>
      </w:r>
      <w:r w:rsidRPr="00DA47FD">
        <w:rPr>
          <w:rFonts w:ascii="Arial" w:hAnsi="Arial" w:cs="Arial"/>
          <w:bCs/>
        </w:rPr>
        <w:t>1,5 (bir buçuk) yıllık süre</w:t>
      </w:r>
      <w:r w:rsidRPr="00DA47FD">
        <w:rPr>
          <w:rFonts w:ascii="Arial" w:hAnsi="Arial" w:cs="Arial"/>
        </w:rPr>
        <w:t> içerisinde toplam </w:t>
      </w:r>
      <w:r w:rsidRPr="00DA47FD">
        <w:rPr>
          <w:rFonts w:ascii="Arial" w:hAnsi="Arial" w:cs="Arial"/>
          <w:bCs/>
        </w:rPr>
        <w:t>başvuruların yüzde 61’i</w:t>
      </w:r>
      <w:r w:rsidR="00A02627">
        <w:rPr>
          <w:rFonts w:ascii="Arial" w:hAnsi="Arial" w:cs="Arial"/>
          <w:bCs/>
        </w:rPr>
        <w:t xml:space="preserve"> </w:t>
      </w:r>
      <w:r w:rsidRPr="00DA47FD">
        <w:rPr>
          <w:rFonts w:ascii="Arial" w:hAnsi="Arial" w:cs="Arial"/>
        </w:rPr>
        <w:t xml:space="preserve">hakkında karar verildiği belirtildi. </w:t>
      </w:r>
      <w:r w:rsidR="00862A6C" w:rsidRPr="00DA47FD">
        <w:rPr>
          <w:rFonts w:ascii="Arial" w:hAnsi="Arial" w:cs="Arial"/>
        </w:rPr>
        <w:t>Komisyon</w:t>
      </w:r>
      <w:r w:rsidR="008F1B08" w:rsidRPr="00DA47FD">
        <w:rPr>
          <w:rFonts w:ascii="Arial" w:hAnsi="Arial" w:cs="Arial"/>
        </w:rPr>
        <w:t xml:space="preserve"> başvurularının %61’i sonuçlandırılırken</w:t>
      </w:r>
      <w:r w:rsidR="00A02627">
        <w:rPr>
          <w:rFonts w:ascii="Arial" w:hAnsi="Arial" w:cs="Arial"/>
        </w:rPr>
        <w:t>,</w:t>
      </w:r>
      <w:r w:rsidR="008F1B08" w:rsidRPr="00DA47FD">
        <w:rPr>
          <w:rFonts w:ascii="Arial" w:hAnsi="Arial" w:cs="Arial"/>
        </w:rPr>
        <w:t xml:space="preserve"> </w:t>
      </w:r>
      <w:r w:rsidR="00B40705" w:rsidRPr="00DA47FD">
        <w:rPr>
          <w:rFonts w:ascii="Arial" w:hAnsi="Arial" w:cs="Arial"/>
        </w:rPr>
        <w:t xml:space="preserve">sonuçlanan başvurularda </w:t>
      </w:r>
      <w:r w:rsidR="008F1B08" w:rsidRPr="00DA47FD">
        <w:rPr>
          <w:rFonts w:ascii="Arial" w:hAnsi="Arial" w:cs="Arial"/>
        </w:rPr>
        <w:t xml:space="preserve">kabul oranı %0,7’de kaldı. </w:t>
      </w:r>
      <w:r w:rsidRPr="00DA47FD">
        <w:rPr>
          <w:rFonts w:ascii="Arial" w:hAnsi="Arial" w:cs="Arial"/>
        </w:rPr>
        <w:t xml:space="preserve">23 </w:t>
      </w:r>
      <w:r w:rsidR="007A64EF" w:rsidRPr="00DA47FD">
        <w:rPr>
          <w:rFonts w:ascii="Arial" w:hAnsi="Arial" w:cs="Arial"/>
        </w:rPr>
        <w:t>M</w:t>
      </w:r>
      <w:r w:rsidRPr="00DA47FD">
        <w:rPr>
          <w:rFonts w:ascii="Arial" w:hAnsi="Arial" w:cs="Arial"/>
        </w:rPr>
        <w:t>ayıs tarihinde yaptığımız açıklamada re</w:t>
      </w:r>
      <w:r w:rsidR="00A02627">
        <w:rPr>
          <w:rFonts w:ascii="Arial" w:hAnsi="Arial" w:cs="Arial"/>
        </w:rPr>
        <w:t>t</w:t>
      </w:r>
      <w:r w:rsidRPr="00DA47FD">
        <w:rPr>
          <w:rFonts w:ascii="Arial" w:hAnsi="Arial" w:cs="Arial"/>
        </w:rPr>
        <w:t xml:space="preserve"> kararlarına ilişkin verdiğimiz örnekl</w:t>
      </w:r>
      <w:r w:rsidR="008F1B08" w:rsidRPr="00DA47FD">
        <w:rPr>
          <w:rFonts w:ascii="Arial" w:hAnsi="Arial" w:cs="Arial"/>
        </w:rPr>
        <w:t>er</w:t>
      </w:r>
      <w:r w:rsidR="00A02627">
        <w:rPr>
          <w:rFonts w:ascii="Arial" w:hAnsi="Arial" w:cs="Arial"/>
        </w:rPr>
        <w:t>,</w:t>
      </w:r>
      <w:r w:rsidR="008F1B08" w:rsidRPr="00DA47FD">
        <w:rPr>
          <w:rFonts w:ascii="Arial" w:hAnsi="Arial" w:cs="Arial"/>
        </w:rPr>
        <w:t xml:space="preserve"> başvuruların neden yalnızca </w:t>
      </w:r>
      <w:r w:rsidRPr="00DA47FD">
        <w:rPr>
          <w:rFonts w:ascii="Arial" w:hAnsi="Arial" w:cs="Arial"/>
        </w:rPr>
        <w:t>%</w:t>
      </w:r>
      <w:proofErr w:type="gramStart"/>
      <w:r w:rsidRPr="00DA47FD">
        <w:rPr>
          <w:rFonts w:ascii="Arial" w:hAnsi="Arial" w:cs="Arial"/>
        </w:rPr>
        <w:t>0.7’sinin</w:t>
      </w:r>
      <w:proofErr w:type="gramEnd"/>
      <w:r w:rsidRPr="00DA47FD">
        <w:rPr>
          <w:rFonts w:ascii="Arial" w:hAnsi="Arial" w:cs="Arial"/>
        </w:rPr>
        <w:t xml:space="preserve"> kabulle sonuçlandırıldığını göstermektedir. </w:t>
      </w:r>
    </w:p>
    <w:p w:rsidR="00356309" w:rsidRPr="00DA47FD" w:rsidRDefault="00B40705" w:rsidP="008F1B08">
      <w:pPr>
        <w:jc w:val="both"/>
        <w:rPr>
          <w:rFonts w:ascii="Arial" w:hAnsi="Arial" w:cs="Arial"/>
        </w:rPr>
      </w:pPr>
      <w:r w:rsidRPr="00DA47FD">
        <w:rPr>
          <w:rFonts w:ascii="Arial" w:hAnsi="Arial" w:cs="Arial"/>
        </w:rPr>
        <w:t xml:space="preserve">Kısaca hatırlatacak olursak; </w:t>
      </w:r>
    </w:p>
    <w:p w:rsidR="00A145A8" w:rsidRPr="00DA47FD" w:rsidRDefault="00B40705" w:rsidP="008F1B08">
      <w:pPr>
        <w:jc w:val="both"/>
        <w:rPr>
          <w:rFonts w:ascii="Arial" w:hAnsi="Arial" w:cs="Arial"/>
          <w:b/>
        </w:rPr>
      </w:pPr>
      <w:r w:rsidRPr="00DA47FD">
        <w:rPr>
          <w:rFonts w:ascii="Arial" w:hAnsi="Arial" w:cs="Arial"/>
        </w:rPr>
        <w:t>OHAL Kom</w:t>
      </w:r>
      <w:r w:rsidR="00356309" w:rsidRPr="00DA47FD">
        <w:rPr>
          <w:rFonts w:ascii="Arial" w:hAnsi="Arial" w:cs="Arial"/>
        </w:rPr>
        <w:t>i</w:t>
      </w:r>
      <w:r w:rsidRPr="00DA47FD">
        <w:rPr>
          <w:rFonts w:ascii="Arial" w:hAnsi="Arial" w:cs="Arial"/>
        </w:rPr>
        <w:t xml:space="preserve">syonu masumiyet </w:t>
      </w:r>
      <w:r w:rsidR="00356309" w:rsidRPr="00DA47FD">
        <w:rPr>
          <w:rFonts w:ascii="Arial" w:hAnsi="Arial" w:cs="Arial"/>
        </w:rPr>
        <w:t>kar</w:t>
      </w:r>
      <w:r w:rsidR="00A02627">
        <w:rPr>
          <w:rFonts w:ascii="Arial" w:hAnsi="Arial" w:cs="Arial"/>
        </w:rPr>
        <w:t>i</w:t>
      </w:r>
      <w:r w:rsidR="00356309" w:rsidRPr="00DA47FD">
        <w:rPr>
          <w:rFonts w:ascii="Arial" w:hAnsi="Arial" w:cs="Arial"/>
        </w:rPr>
        <w:t>nesini</w:t>
      </w:r>
      <w:r w:rsidRPr="00DA47FD">
        <w:rPr>
          <w:rFonts w:ascii="Arial" w:hAnsi="Arial" w:cs="Arial"/>
        </w:rPr>
        <w:t xml:space="preserve"> ihlal etmekte, hakkında kesinleşm</w:t>
      </w:r>
      <w:r w:rsidR="00356309" w:rsidRPr="00DA47FD">
        <w:rPr>
          <w:rFonts w:ascii="Arial" w:hAnsi="Arial" w:cs="Arial"/>
        </w:rPr>
        <w:t xml:space="preserve">iş </w:t>
      </w:r>
      <w:r w:rsidR="00DA47FD" w:rsidRPr="00DA47FD">
        <w:rPr>
          <w:rFonts w:ascii="Arial" w:hAnsi="Arial" w:cs="Arial"/>
        </w:rPr>
        <w:t>mahkûmiyet</w:t>
      </w:r>
      <w:r w:rsidR="00356309" w:rsidRPr="00DA47FD">
        <w:rPr>
          <w:rFonts w:ascii="Arial" w:hAnsi="Arial" w:cs="Arial"/>
        </w:rPr>
        <w:t xml:space="preserve"> kararı bulunmayan üyelerimizin</w:t>
      </w:r>
      <w:r w:rsidRPr="00DA47FD">
        <w:rPr>
          <w:rFonts w:ascii="Arial" w:hAnsi="Arial" w:cs="Arial"/>
        </w:rPr>
        <w:t xml:space="preserve"> başvurularını reddetmekte, memuriyete girmeden önce kişi hakkında verilen ve </w:t>
      </w:r>
      <w:r w:rsidR="00356309" w:rsidRPr="00DA47FD">
        <w:rPr>
          <w:rFonts w:ascii="Arial" w:hAnsi="Arial" w:cs="Arial"/>
        </w:rPr>
        <w:t>d</w:t>
      </w:r>
      <w:r w:rsidRPr="00DA47FD">
        <w:rPr>
          <w:rFonts w:ascii="Arial" w:hAnsi="Arial" w:cs="Arial"/>
        </w:rPr>
        <w:t>enetim süresi dolan kararları ihracın gerekçesi yapmakta, ihraç kararından sonra başlatılan soruşturmaları re</w:t>
      </w:r>
      <w:r w:rsidR="00A02627">
        <w:rPr>
          <w:rFonts w:ascii="Arial" w:hAnsi="Arial" w:cs="Arial"/>
        </w:rPr>
        <w:t>t</w:t>
      </w:r>
      <w:r w:rsidRPr="00DA47FD">
        <w:rPr>
          <w:rFonts w:ascii="Arial" w:hAnsi="Arial" w:cs="Arial"/>
        </w:rPr>
        <w:t xml:space="preserve"> gerekçesi yapabilmektedir. Elbette bu örnekler daha da arttırılabilir ancak 23.05.2019 tarihli raporumuzda açıkladığımız üzere </w:t>
      </w:r>
      <w:r w:rsidR="00A145A8" w:rsidRPr="00DA47FD">
        <w:rPr>
          <w:rFonts w:ascii="Arial" w:hAnsi="Arial" w:cs="Arial"/>
        </w:rPr>
        <w:t xml:space="preserve">OHAL </w:t>
      </w:r>
      <w:r w:rsidR="00A02627">
        <w:rPr>
          <w:rFonts w:ascii="Arial" w:hAnsi="Arial" w:cs="Arial"/>
        </w:rPr>
        <w:t>İ</w:t>
      </w:r>
      <w:r w:rsidR="00A145A8" w:rsidRPr="00DA47FD">
        <w:rPr>
          <w:rFonts w:ascii="Arial" w:hAnsi="Arial" w:cs="Arial"/>
        </w:rPr>
        <w:t xml:space="preserve">şlemlerini İnceleme Komisyonu yalnızca kamu emekçilerinin adalete erişimlerini geciktirmek ve OHAL </w:t>
      </w:r>
      <w:r w:rsidR="007A64EF" w:rsidRPr="00DA47FD">
        <w:rPr>
          <w:rFonts w:ascii="Arial" w:hAnsi="Arial" w:cs="Arial"/>
        </w:rPr>
        <w:t>rejiminin</w:t>
      </w:r>
      <w:r w:rsidR="00A145A8" w:rsidRPr="00DA47FD">
        <w:rPr>
          <w:rFonts w:ascii="Arial" w:hAnsi="Arial" w:cs="Arial"/>
        </w:rPr>
        <w:t xml:space="preserve"> sürekliliğini korumak için oluşturulmuş bir kurumdur.</w:t>
      </w:r>
    </w:p>
    <w:p w:rsidR="00A145A8" w:rsidRPr="00DA47FD" w:rsidRDefault="00A145A8" w:rsidP="008F1B08">
      <w:pPr>
        <w:jc w:val="both"/>
        <w:rPr>
          <w:rFonts w:ascii="Arial" w:hAnsi="Arial" w:cs="Arial"/>
        </w:rPr>
      </w:pPr>
      <w:r w:rsidRPr="00DA47FD">
        <w:rPr>
          <w:rFonts w:ascii="Arial" w:hAnsi="Arial" w:cs="Arial"/>
        </w:rPr>
        <w:t xml:space="preserve">Komisyonun hangi sırayla inceleme yaptığına dair de bir bilgimiz bulunmamaktadır. Aşağıda sunulan tablodan </w:t>
      </w:r>
      <w:r w:rsidR="00A02627">
        <w:rPr>
          <w:rFonts w:ascii="Arial" w:hAnsi="Arial" w:cs="Arial"/>
        </w:rPr>
        <w:t xml:space="preserve">da </w:t>
      </w:r>
      <w:r w:rsidRPr="00DA47FD">
        <w:rPr>
          <w:rFonts w:ascii="Arial" w:hAnsi="Arial" w:cs="Arial"/>
        </w:rPr>
        <w:t xml:space="preserve">görüleceği üzere </w:t>
      </w:r>
      <w:r w:rsidR="007A64EF" w:rsidRPr="00DA47FD">
        <w:rPr>
          <w:rFonts w:ascii="Arial" w:hAnsi="Arial" w:cs="Arial"/>
        </w:rPr>
        <w:t xml:space="preserve">ihraç tarihlerine göre bir inceleme yapılmamaktadır. Bu anlamda da </w:t>
      </w:r>
      <w:r w:rsidR="00A02627">
        <w:rPr>
          <w:rFonts w:ascii="Arial" w:hAnsi="Arial" w:cs="Arial"/>
        </w:rPr>
        <w:t>k</w:t>
      </w:r>
      <w:r w:rsidR="007A64EF" w:rsidRPr="00DA47FD">
        <w:rPr>
          <w:rFonts w:ascii="Arial" w:hAnsi="Arial" w:cs="Arial"/>
        </w:rPr>
        <w:t>omis</w:t>
      </w:r>
      <w:r w:rsidR="00B40705" w:rsidRPr="00DA47FD">
        <w:rPr>
          <w:rFonts w:ascii="Arial" w:hAnsi="Arial" w:cs="Arial"/>
        </w:rPr>
        <w:t>yonun çalışması</w:t>
      </w:r>
      <w:r w:rsidR="00A02627">
        <w:rPr>
          <w:rFonts w:ascii="Arial" w:hAnsi="Arial" w:cs="Arial"/>
        </w:rPr>
        <w:t>nın</w:t>
      </w:r>
      <w:r w:rsidR="00B40705" w:rsidRPr="00DA47FD">
        <w:rPr>
          <w:rFonts w:ascii="Arial" w:hAnsi="Arial" w:cs="Arial"/>
        </w:rPr>
        <w:t xml:space="preserve"> şeffaf olmadığını belirtmek isteriz. </w:t>
      </w:r>
    </w:p>
    <w:tbl>
      <w:tblPr>
        <w:tblStyle w:val="TabloKlavuzu"/>
        <w:tblW w:w="9356" w:type="dxa"/>
        <w:tblInd w:w="-147" w:type="dxa"/>
        <w:tblLook w:val="04A0"/>
      </w:tblPr>
      <w:tblGrid>
        <w:gridCol w:w="1103"/>
        <w:gridCol w:w="1307"/>
        <w:gridCol w:w="1386"/>
        <w:gridCol w:w="742"/>
        <w:gridCol w:w="1262"/>
        <w:gridCol w:w="1178"/>
        <w:gridCol w:w="2378"/>
      </w:tblGrid>
      <w:tr w:rsidR="00DA47FD" w:rsidRPr="00DA47FD" w:rsidTr="00DA47FD">
        <w:trPr>
          <w:trHeight w:val="300"/>
        </w:trPr>
        <w:tc>
          <w:tcPr>
            <w:tcW w:w="1103" w:type="dxa"/>
            <w:noWrap/>
            <w:hideMark/>
          </w:tcPr>
          <w:p w:rsidR="00DA47FD" w:rsidRPr="00DA47FD" w:rsidRDefault="00DA47FD" w:rsidP="008F1B08">
            <w:pPr>
              <w:jc w:val="both"/>
              <w:rPr>
                <w:rFonts w:ascii="Arial" w:hAnsi="Arial" w:cs="Arial"/>
                <w:b/>
                <w:bCs/>
              </w:rPr>
            </w:pPr>
            <w:r w:rsidRPr="00DA47FD">
              <w:rPr>
                <w:rFonts w:ascii="Arial" w:hAnsi="Arial" w:cs="Arial"/>
                <w:b/>
                <w:bCs/>
              </w:rPr>
              <w:t>KHK TARİHİ</w:t>
            </w:r>
          </w:p>
        </w:tc>
        <w:tc>
          <w:tcPr>
            <w:tcW w:w="1307" w:type="dxa"/>
            <w:noWrap/>
            <w:hideMark/>
          </w:tcPr>
          <w:p w:rsidR="00DA47FD" w:rsidRPr="00DA47FD" w:rsidRDefault="00DA47FD" w:rsidP="008F1B08">
            <w:pPr>
              <w:jc w:val="both"/>
              <w:rPr>
                <w:rFonts w:ascii="Arial" w:hAnsi="Arial" w:cs="Arial"/>
                <w:b/>
                <w:bCs/>
              </w:rPr>
            </w:pPr>
            <w:r w:rsidRPr="00DA47FD">
              <w:rPr>
                <w:rFonts w:ascii="Arial" w:hAnsi="Arial" w:cs="Arial"/>
                <w:b/>
                <w:bCs/>
              </w:rPr>
              <w:t>KHK NO</w:t>
            </w:r>
          </w:p>
        </w:tc>
        <w:tc>
          <w:tcPr>
            <w:tcW w:w="1386" w:type="dxa"/>
            <w:noWrap/>
            <w:hideMark/>
          </w:tcPr>
          <w:p w:rsidR="00DA47FD" w:rsidRPr="00DA47FD" w:rsidRDefault="00DA47FD" w:rsidP="008F1B08">
            <w:pPr>
              <w:jc w:val="both"/>
              <w:rPr>
                <w:rFonts w:ascii="Arial" w:hAnsi="Arial" w:cs="Arial"/>
                <w:b/>
                <w:bCs/>
              </w:rPr>
            </w:pPr>
            <w:r w:rsidRPr="00DA47FD">
              <w:rPr>
                <w:rFonts w:ascii="Arial" w:hAnsi="Arial" w:cs="Arial"/>
                <w:b/>
                <w:bCs/>
              </w:rPr>
              <w:t>TOPLAM SES İHRAÇ</w:t>
            </w:r>
          </w:p>
        </w:tc>
        <w:tc>
          <w:tcPr>
            <w:tcW w:w="742" w:type="dxa"/>
            <w:noWrap/>
            <w:hideMark/>
          </w:tcPr>
          <w:p w:rsidR="00DA47FD" w:rsidRPr="00DA47FD" w:rsidRDefault="00DA47FD" w:rsidP="008F1B08">
            <w:pPr>
              <w:jc w:val="both"/>
              <w:rPr>
                <w:rFonts w:ascii="Arial" w:hAnsi="Arial" w:cs="Arial"/>
                <w:b/>
                <w:bCs/>
              </w:rPr>
            </w:pPr>
            <w:r w:rsidRPr="00DA47FD">
              <w:rPr>
                <w:rFonts w:ascii="Arial" w:hAnsi="Arial" w:cs="Arial"/>
                <w:b/>
                <w:bCs/>
              </w:rPr>
              <w:t>KHK İADE</w:t>
            </w:r>
          </w:p>
        </w:tc>
        <w:tc>
          <w:tcPr>
            <w:tcW w:w="1262" w:type="dxa"/>
            <w:noWrap/>
            <w:hideMark/>
          </w:tcPr>
          <w:p w:rsidR="00DA47FD" w:rsidRPr="00DA47FD" w:rsidRDefault="00DA47FD" w:rsidP="008F1B08">
            <w:pPr>
              <w:jc w:val="both"/>
              <w:rPr>
                <w:rFonts w:ascii="Arial" w:hAnsi="Arial" w:cs="Arial"/>
                <w:b/>
                <w:bCs/>
              </w:rPr>
            </w:pPr>
            <w:r w:rsidRPr="00DA47FD">
              <w:rPr>
                <w:rFonts w:ascii="Arial" w:hAnsi="Arial" w:cs="Arial"/>
                <w:b/>
                <w:bCs/>
              </w:rPr>
              <w:t xml:space="preserve">OHAL KOM. İADE </w:t>
            </w:r>
          </w:p>
        </w:tc>
        <w:tc>
          <w:tcPr>
            <w:tcW w:w="1178" w:type="dxa"/>
            <w:noWrap/>
            <w:hideMark/>
          </w:tcPr>
          <w:p w:rsidR="00DA47FD" w:rsidRPr="00DA47FD" w:rsidRDefault="00DA47FD" w:rsidP="008F1B08">
            <w:pPr>
              <w:jc w:val="both"/>
              <w:rPr>
                <w:rFonts w:ascii="Arial" w:hAnsi="Arial" w:cs="Arial"/>
                <w:b/>
                <w:bCs/>
              </w:rPr>
            </w:pPr>
            <w:r w:rsidRPr="00DA47FD">
              <w:rPr>
                <w:rFonts w:ascii="Arial" w:hAnsi="Arial" w:cs="Arial"/>
                <w:b/>
                <w:bCs/>
              </w:rPr>
              <w:t>OHAL KOM. RED</w:t>
            </w:r>
          </w:p>
        </w:tc>
        <w:tc>
          <w:tcPr>
            <w:tcW w:w="2378" w:type="dxa"/>
            <w:noWrap/>
            <w:hideMark/>
          </w:tcPr>
          <w:p w:rsidR="00DA47FD" w:rsidRPr="00DA47FD" w:rsidRDefault="00DA47FD" w:rsidP="008F1B08">
            <w:pPr>
              <w:jc w:val="both"/>
              <w:rPr>
                <w:rFonts w:ascii="Arial" w:hAnsi="Arial" w:cs="Arial"/>
                <w:b/>
                <w:bCs/>
              </w:rPr>
            </w:pPr>
            <w:r w:rsidRPr="00DA47FD">
              <w:rPr>
                <w:rFonts w:ascii="Arial" w:hAnsi="Arial" w:cs="Arial"/>
                <w:b/>
                <w:bCs/>
              </w:rPr>
              <w:t> </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1.09.16</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672</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13</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1</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1</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 xml:space="preserve">12 üye 2 yıl 10,5 ay  </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29.10.16</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675</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438</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7</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33</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33</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 xml:space="preserve">403 üye 2 yıl 8,5 ay </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22.11.16</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677</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82</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3</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4</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7</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77 üye 2 yıl 7,5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6.01.17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679</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50</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2</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4</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3</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44 üye 2 YIL 6,5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23.01.17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683</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2</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1</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1 üye 2 yıl 5,5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7.02.17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686</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3</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2378" w:type="dxa"/>
            <w:noWrap/>
            <w:hideMark/>
          </w:tcPr>
          <w:p w:rsidR="00DA47FD" w:rsidRPr="00DA47FD" w:rsidRDefault="00DA47FD" w:rsidP="008F1B08">
            <w:pPr>
              <w:jc w:val="both"/>
              <w:rPr>
                <w:rFonts w:ascii="Arial" w:hAnsi="Arial" w:cs="Arial"/>
              </w:rPr>
            </w:pPr>
            <w:r w:rsidRPr="00DA47FD">
              <w:rPr>
                <w:rFonts w:ascii="Arial" w:hAnsi="Arial" w:cs="Arial"/>
              </w:rPr>
              <w:t>3 üye 2 yıl 5,5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29.04.17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689</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73</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4</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8</w:t>
            </w:r>
          </w:p>
        </w:tc>
        <w:tc>
          <w:tcPr>
            <w:tcW w:w="2378" w:type="dxa"/>
            <w:noWrap/>
            <w:hideMark/>
          </w:tcPr>
          <w:p w:rsidR="00DA47FD" w:rsidRPr="00DA47FD" w:rsidRDefault="00DA47FD" w:rsidP="008F1B08">
            <w:pPr>
              <w:jc w:val="both"/>
              <w:rPr>
                <w:rFonts w:ascii="Arial" w:hAnsi="Arial" w:cs="Arial"/>
              </w:rPr>
            </w:pPr>
            <w:r w:rsidRPr="00DA47FD">
              <w:rPr>
                <w:rFonts w:ascii="Arial" w:hAnsi="Arial" w:cs="Arial"/>
              </w:rPr>
              <w:t>71 üye 2 yıl 2,5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lastRenderedPageBreak/>
              <w:t>14.07.17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692</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113</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4</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2</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11</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107 üye 2 yıl 15 gün</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25.08.17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693</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9</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4</w:t>
            </w:r>
          </w:p>
        </w:tc>
        <w:tc>
          <w:tcPr>
            <w:tcW w:w="2378" w:type="dxa"/>
            <w:noWrap/>
            <w:hideMark/>
          </w:tcPr>
          <w:p w:rsidR="00DA47FD" w:rsidRPr="00DA47FD" w:rsidRDefault="00DA47FD" w:rsidP="008F1B08">
            <w:pPr>
              <w:jc w:val="both"/>
              <w:rPr>
                <w:rFonts w:ascii="Arial" w:hAnsi="Arial" w:cs="Arial"/>
              </w:rPr>
            </w:pPr>
            <w:r w:rsidRPr="00DA47FD">
              <w:rPr>
                <w:rFonts w:ascii="Arial" w:hAnsi="Arial" w:cs="Arial"/>
              </w:rPr>
              <w:t>9 üye 1 yıl 10,5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24.12.17</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695</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1</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2378" w:type="dxa"/>
            <w:noWrap/>
            <w:hideMark/>
          </w:tcPr>
          <w:p w:rsidR="00DA47FD" w:rsidRPr="00DA47FD" w:rsidRDefault="00DA47FD" w:rsidP="008F1B08">
            <w:pPr>
              <w:jc w:val="both"/>
              <w:rPr>
                <w:rFonts w:ascii="Arial" w:hAnsi="Arial" w:cs="Arial"/>
              </w:rPr>
            </w:pPr>
            <w:r w:rsidRPr="00DA47FD">
              <w:rPr>
                <w:rFonts w:ascii="Arial" w:hAnsi="Arial" w:cs="Arial"/>
              </w:rPr>
              <w:t>1 üye 1yıl 6,5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12.01.18</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697</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2</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1</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2 üye 1 yıl 5,5 ay</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8.07.18</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701</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9</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2378" w:type="dxa"/>
            <w:noWrap/>
            <w:hideMark/>
          </w:tcPr>
          <w:p w:rsidR="00DA47FD" w:rsidRPr="00DA47FD" w:rsidRDefault="00DA47FD" w:rsidP="00356309">
            <w:pPr>
              <w:jc w:val="both"/>
              <w:rPr>
                <w:rFonts w:ascii="Arial" w:hAnsi="Arial" w:cs="Arial"/>
              </w:rPr>
            </w:pPr>
            <w:r w:rsidRPr="00DA47FD">
              <w:rPr>
                <w:rFonts w:ascii="Arial" w:hAnsi="Arial" w:cs="Arial"/>
              </w:rPr>
              <w:t>9 üye 1 yıl 15 gün</w:t>
            </w:r>
          </w:p>
        </w:tc>
      </w:tr>
      <w:tr w:rsidR="00DA47FD" w:rsidRPr="00DA47FD" w:rsidTr="00DA47FD">
        <w:trPr>
          <w:trHeight w:val="300"/>
        </w:trPr>
        <w:tc>
          <w:tcPr>
            <w:tcW w:w="1103" w:type="dxa"/>
            <w:noWrap/>
            <w:hideMark/>
          </w:tcPr>
          <w:p w:rsidR="00DA47FD" w:rsidRPr="00DA47FD" w:rsidRDefault="00DA47FD" w:rsidP="008F1B08">
            <w:pPr>
              <w:jc w:val="both"/>
              <w:rPr>
                <w:rFonts w:ascii="Arial" w:hAnsi="Arial" w:cs="Arial"/>
              </w:rPr>
            </w:pPr>
            <w:r w:rsidRPr="00DA47FD">
              <w:rPr>
                <w:rFonts w:ascii="Arial" w:hAnsi="Arial" w:cs="Arial"/>
              </w:rPr>
              <w:t> </w:t>
            </w:r>
          </w:p>
        </w:tc>
        <w:tc>
          <w:tcPr>
            <w:tcW w:w="1307" w:type="dxa"/>
            <w:noWrap/>
            <w:hideMark/>
          </w:tcPr>
          <w:p w:rsidR="00DA47FD" w:rsidRPr="00DA47FD" w:rsidRDefault="00DA47FD" w:rsidP="008F1B08">
            <w:pPr>
              <w:jc w:val="both"/>
              <w:rPr>
                <w:rFonts w:ascii="Arial" w:hAnsi="Arial" w:cs="Arial"/>
              </w:rPr>
            </w:pPr>
            <w:r w:rsidRPr="00DA47FD">
              <w:rPr>
                <w:rFonts w:ascii="Arial" w:hAnsi="Arial" w:cs="Arial"/>
              </w:rPr>
              <w:t>TOPLAM</w:t>
            </w:r>
          </w:p>
        </w:tc>
        <w:tc>
          <w:tcPr>
            <w:tcW w:w="1386" w:type="dxa"/>
            <w:noWrap/>
            <w:hideMark/>
          </w:tcPr>
          <w:p w:rsidR="00DA47FD" w:rsidRPr="00DA47FD" w:rsidRDefault="00DA47FD" w:rsidP="008F1B08">
            <w:pPr>
              <w:jc w:val="both"/>
              <w:rPr>
                <w:rFonts w:ascii="Arial" w:hAnsi="Arial" w:cs="Arial"/>
              </w:rPr>
            </w:pPr>
            <w:r w:rsidRPr="00DA47FD">
              <w:rPr>
                <w:rFonts w:ascii="Arial" w:hAnsi="Arial" w:cs="Arial"/>
              </w:rPr>
              <w:t>796</w:t>
            </w:r>
          </w:p>
        </w:tc>
        <w:tc>
          <w:tcPr>
            <w:tcW w:w="742" w:type="dxa"/>
            <w:noWrap/>
            <w:hideMark/>
          </w:tcPr>
          <w:p w:rsidR="00DA47FD" w:rsidRPr="00DA47FD" w:rsidRDefault="00DA47FD" w:rsidP="008F1B08">
            <w:pPr>
              <w:jc w:val="both"/>
              <w:rPr>
                <w:rFonts w:ascii="Arial" w:hAnsi="Arial" w:cs="Arial"/>
              </w:rPr>
            </w:pPr>
            <w:r w:rsidRPr="00DA47FD">
              <w:rPr>
                <w:rFonts w:ascii="Arial" w:hAnsi="Arial" w:cs="Arial"/>
              </w:rPr>
              <w:t>17</w:t>
            </w:r>
          </w:p>
        </w:tc>
        <w:tc>
          <w:tcPr>
            <w:tcW w:w="1262" w:type="dxa"/>
            <w:noWrap/>
            <w:hideMark/>
          </w:tcPr>
          <w:p w:rsidR="00DA47FD" w:rsidRPr="00DA47FD" w:rsidRDefault="00DA47FD" w:rsidP="008F1B08">
            <w:pPr>
              <w:jc w:val="both"/>
              <w:rPr>
                <w:rFonts w:ascii="Arial" w:hAnsi="Arial" w:cs="Arial"/>
              </w:rPr>
            </w:pPr>
            <w:r w:rsidRPr="00DA47FD">
              <w:rPr>
                <w:rFonts w:ascii="Arial" w:hAnsi="Arial" w:cs="Arial"/>
              </w:rPr>
              <w:t>49</w:t>
            </w:r>
          </w:p>
        </w:tc>
        <w:tc>
          <w:tcPr>
            <w:tcW w:w="1178" w:type="dxa"/>
            <w:noWrap/>
            <w:hideMark/>
          </w:tcPr>
          <w:p w:rsidR="00DA47FD" w:rsidRPr="00DA47FD" w:rsidRDefault="00DA47FD" w:rsidP="008F1B08">
            <w:pPr>
              <w:jc w:val="both"/>
              <w:rPr>
                <w:rFonts w:ascii="Arial" w:hAnsi="Arial" w:cs="Arial"/>
              </w:rPr>
            </w:pPr>
            <w:r w:rsidRPr="00DA47FD">
              <w:rPr>
                <w:rFonts w:ascii="Arial" w:hAnsi="Arial" w:cs="Arial"/>
              </w:rPr>
              <w:t>67</w:t>
            </w:r>
          </w:p>
        </w:tc>
        <w:tc>
          <w:tcPr>
            <w:tcW w:w="2378" w:type="dxa"/>
            <w:noWrap/>
            <w:hideMark/>
          </w:tcPr>
          <w:p w:rsidR="00DA47FD" w:rsidRPr="00DA47FD" w:rsidRDefault="00DA47FD" w:rsidP="008F1B08">
            <w:pPr>
              <w:jc w:val="both"/>
              <w:rPr>
                <w:rFonts w:ascii="Arial" w:hAnsi="Arial" w:cs="Arial"/>
              </w:rPr>
            </w:pPr>
            <w:r w:rsidRPr="00DA47FD">
              <w:rPr>
                <w:rFonts w:ascii="Arial" w:hAnsi="Arial" w:cs="Arial"/>
              </w:rPr>
              <w:t> </w:t>
            </w:r>
          </w:p>
        </w:tc>
      </w:tr>
    </w:tbl>
    <w:p w:rsidR="00DA47FD" w:rsidRPr="00DA47FD" w:rsidRDefault="00DA47FD" w:rsidP="008F1B08">
      <w:pPr>
        <w:jc w:val="both"/>
        <w:rPr>
          <w:rFonts w:ascii="Arial" w:hAnsi="Arial" w:cs="Arial"/>
          <w:b/>
        </w:rPr>
      </w:pPr>
    </w:p>
    <w:p w:rsidR="00356309" w:rsidRPr="00DA47FD" w:rsidRDefault="00671F3A" w:rsidP="008F1B08">
      <w:pPr>
        <w:jc w:val="both"/>
        <w:rPr>
          <w:rFonts w:ascii="Arial" w:hAnsi="Arial" w:cs="Arial"/>
          <w:b/>
        </w:rPr>
      </w:pPr>
      <w:r w:rsidRPr="00DA47FD">
        <w:rPr>
          <w:rFonts w:ascii="Arial" w:hAnsi="Arial" w:cs="Arial"/>
          <w:b/>
        </w:rPr>
        <w:t xml:space="preserve">ÖZEL GÖREVLİ CEZA MAHKEMELERİNDEN ÖZEL GÖREVLİ İDARE MAHKEMELERİNE  </w:t>
      </w:r>
    </w:p>
    <w:p w:rsidR="008F1B08" w:rsidRPr="00DA47FD" w:rsidRDefault="008F1B08" w:rsidP="008F1B08">
      <w:pPr>
        <w:jc w:val="both"/>
        <w:rPr>
          <w:rFonts w:ascii="Arial" w:hAnsi="Arial" w:cs="Arial"/>
        </w:rPr>
      </w:pPr>
      <w:r w:rsidRPr="00DA47FD">
        <w:rPr>
          <w:rFonts w:ascii="Arial" w:hAnsi="Arial" w:cs="Arial"/>
        </w:rPr>
        <w:t>OHAL Komisyonu</w:t>
      </w:r>
      <w:r w:rsidR="00A02627">
        <w:rPr>
          <w:rFonts w:ascii="Arial" w:hAnsi="Arial" w:cs="Arial"/>
        </w:rPr>
        <w:t>’</w:t>
      </w:r>
      <w:r w:rsidRPr="00DA47FD">
        <w:rPr>
          <w:rFonts w:ascii="Arial" w:hAnsi="Arial" w:cs="Arial"/>
        </w:rPr>
        <w:t xml:space="preserve">nun başvurulara ilişkin kararlarının ardından idari yargı süreçleri de adalete erişim için etkili başvuru yolları değildir. </w:t>
      </w:r>
    </w:p>
    <w:p w:rsidR="00671F3A" w:rsidRPr="00DA47FD" w:rsidRDefault="008F1B08" w:rsidP="00356309">
      <w:pPr>
        <w:jc w:val="both"/>
        <w:rPr>
          <w:rFonts w:ascii="Arial" w:hAnsi="Arial" w:cs="Arial"/>
        </w:rPr>
      </w:pPr>
      <w:r w:rsidRPr="00DA47FD">
        <w:rPr>
          <w:rFonts w:ascii="Arial" w:hAnsi="Arial" w:cs="Arial"/>
        </w:rPr>
        <w:t xml:space="preserve">Komisyon kararlarına karşı idari yargıya başvuran üyelerimizin davaları </w:t>
      </w:r>
      <w:r w:rsidR="007A64EF" w:rsidRPr="00DA47FD">
        <w:rPr>
          <w:rFonts w:ascii="Arial" w:hAnsi="Arial" w:cs="Arial"/>
        </w:rPr>
        <w:t>bilindiği üzere özel görevli</w:t>
      </w:r>
      <w:r w:rsidR="00671F3A" w:rsidRPr="00DA47FD">
        <w:rPr>
          <w:rFonts w:ascii="Arial" w:hAnsi="Arial" w:cs="Arial"/>
        </w:rPr>
        <w:t xml:space="preserve"> ve yetkili Ankara</w:t>
      </w:r>
      <w:r w:rsidR="007A64EF" w:rsidRPr="00DA47FD">
        <w:rPr>
          <w:rFonts w:ascii="Arial" w:hAnsi="Arial" w:cs="Arial"/>
        </w:rPr>
        <w:t xml:space="preserve"> idare mahkemelerince incelenmektedir. </w:t>
      </w:r>
      <w:r w:rsidR="00671F3A" w:rsidRPr="00DA47FD">
        <w:rPr>
          <w:rFonts w:ascii="Arial" w:hAnsi="Arial" w:cs="Arial"/>
        </w:rPr>
        <w:t xml:space="preserve">DGM’ler kapatıldıktan sonra ceza yargılamalarında bir şekilde devam eden özel yetkili yargılamalar böylece idari yargılamalarda da işlerlik kazanmıştır. </w:t>
      </w:r>
    </w:p>
    <w:p w:rsidR="00356309" w:rsidRPr="00DA47FD" w:rsidRDefault="008F1B08" w:rsidP="00356309">
      <w:pPr>
        <w:jc w:val="both"/>
        <w:rPr>
          <w:rFonts w:ascii="Arial" w:hAnsi="Arial" w:cs="Arial"/>
        </w:rPr>
      </w:pPr>
      <w:r w:rsidRPr="00DA47FD">
        <w:rPr>
          <w:rFonts w:ascii="Arial" w:hAnsi="Arial" w:cs="Arial"/>
        </w:rPr>
        <w:t xml:space="preserve">Her ne kadar </w:t>
      </w:r>
      <w:proofErr w:type="spellStart"/>
      <w:r w:rsidRPr="00DA47FD">
        <w:rPr>
          <w:rFonts w:ascii="Arial" w:hAnsi="Arial" w:cs="Arial"/>
        </w:rPr>
        <w:t>KESK’e</w:t>
      </w:r>
      <w:proofErr w:type="spellEnd"/>
      <w:r w:rsidRPr="00DA47FD">
        <w:rPr>
          <w:rFonts w:ascii="Arial" w:hAnsi="Arial" w:cs="Arial"/>
        </w:rPr>
        <w:t xml:space="preserve"> bağlı sendikalarımızın üyelerinden ihraç edilenlerle ilgili bugüne kadar idari yargıda sonuçlanmış bir dava bulunmasa da takip edebi</w:t>
      </w:r>
      <w:r w:rsidR="00356309" w:rsidRPr="00DA47FD">
        <w:rPr>
          <w:rFonts w:ascii="Arial" w:hAnsi="Arial" w:cs="Arial"/>
        </w:rPr>
        <w:t xml:space="preserve">ldiğimiz kadarıyla özel görevli </w:t>
      </w:r>
      <w:r w:rsidRPr="00DA47FD">
        <w:rPr>
          <w:rFonts w:ascii="Arial" w:hAnsi="Arial" w:cs="Arial"/>
        </w:rPr>
        <w:t xml:space="preserve">idare mahkemeleri komisyon kararlarına paralel kararlar vermektedir. </w:t>
      </w:r>
      <w:r w:rsidR="009108AA">
        <w:rPr>
          <w:rFonts w:ascii="Arial" w:hAnsi="Arial" w:cs="Arial"/>
        </w:rPr>
        <w:t xml:space="preserve">Bu nedenle komisyon kararlarına ilişkin davaların özel yetkilendirilmiş mahkemelerde görülmesine son verilmeli, davalar genel yetkili mahkemelerde görülmelidir.  </w:t>
      </w:r>
      <w:r w:rsidRPr="00DA47FD">
        <w:rPr>
          <w:rFonts w:ascii="Arial" w:hAnsi="Arial" w:cs="Arial"/>
        </w:rPr>
        <w:t xml:space="preserve"> </w:t>
      </w:r>
    </w:p>
    <w:p w:rsidR="00356309" w:rsidRPr="00DA47FD" w:rsidRDefault="00356309" w:rsidP="008F1B08">
      <w:pPr>
        <w:jc w:val="both"/>
        <w:rPr>
          <w:rFonts w:ascii="Arial" w:hAnsi="Arial" w:cs="Arial"/>
          <w:b/>
        </w:rPr>
      </w:pPr>
      <w:r w:rsidRPr="00DA47FD">
        <w:rPr>
          <w:rFonts w:ascii="Arial" w:hAnsi="Arial" w:cs="Arial"/>
          <w:b/>
        </w:rPr>
        <w:t>HEDEF SÜREYE GÖRE KARAR İÇİN 955 GÜN BEKLE!</w:t>
      </w:r>
    </w:p>
    <w:p w:rsidR="008F1B08" w:rsidRPr="00DA47FD" w:rsidRDefault="008F1B08" w:rsidP="008F1B08">
      <w:pPr>
        <w:jc w:val="both"/>
        <w:rPr>
          <w:rFonts w:ascii="Arial" w:hAnsi="Arial" w:cs="Arial"/>
        </w:rPr>
      </w:pPr>
      <w:r w:rsidRPr="00DA47FD">
        <w:rPr>
          <w:rFonts w:ascii="Arial" w:hAnsi="Arial" w:cs="Arial"/>
        </w:rPr>
        <w:t xml:space="preserve">Adalete erişimde bir başka sorun ise yargılamaların uzunluğudur. Yıllardır </w:t>
      </w:r>
      <w:r w:rsidR="00A02627">
        <w:rPr>
          <w:rFonts w:ascii="Arial" w:hAnsi="Arial" w:cs="Arial"/>
        </w:rPr>
        <w:t>m</w:t>
      </w:r>
      <w:r w:rsidRPr="00DA47FD">
        <w:rPr>
          <w:rFonts w:ascii="Arial" w:hAnsi="Arial" w:cs="Arial"/>
        </w:rPr>
        <w:t xml:space="preserve">ahkemeye erişmek için bekleyen üyelerimiz dava açtıklarında davalarının 2 yıl ile 3 yıllık azami sürelerde sonuçlandırılmasının hedeflendiğini öğrenmektedir. Bu süreler ilk aşama yargılamalar için belirlenmiş sürelerdir. </w:t>
      </w:r>
    </w:p>
    <w:p w:rsidR="007A64EF" w:rsidRPr="00DA47FD" w:rsidRDefault="007A64EF" w:rsidP="008F1B08">
      <w:pPr>
        <w:jc w:val="both"/>
        <w:rPr>
          <w:rFonts w:ascii="Arial" w:hAnsi="Arial" w:cs="Arial"/>
        </w:rPr>
      </w:pPr>
      <w:proofErr w:type="gramStart"/>
      <w:r w:rsidRPr="00DA47FD">
        <w:rPr>
          <w:rFonts w:ascii="Arial" w:hAnsi="Arial" w:cs="Arial"/>
        </w:rPr>
        <w:t xml:space="preserve">Adalet Bakanlığı </w:t>
      </w:r>
      <w:r w:rsidRPr="00DA47FD">
        <w:rPr>
          <w:rFonts w:ascii="Arial" w:hAnsi="Arial" w:cs="Arial"/>
          <w:bCs/>
          <w:iCs/>
        </w:rPr>
        <w:t>Yargıda Hedef Süre Uygulamasını ilan ettiğinde makul sürede yargılanma hakkını hatırlatarak</w:t>
      </w:r>
      <w:r w:rsidRPr="00DA47FD">
        <w:rPr>
          <w:rFonts w:ascii="Arial" w:hAnsi="Arial" w:cs="Arial"/>
          <w:b/>
          <w:bCs/>
          <w:i/>
          <w:iCs/>
        </w:rPr>
        <w:t xml:space="preserve"> </w:t>
      </w:r>
      <w:r w:rsidRPr="00DA47FD">
        <w:rPr>
          <w:rFonts w:ascii="Arial" w:hAnsi="Arial" w:cs="Arial"/>
        </w:rPr>
        <w:t>Anayasamızın “ Hak Arama Hürriyeti ” kenar başlıklı 36</w:t>
      </w:r>
      <w:r w:rsidR="00A02627">
        <w:rPr>
          <w:rFonts w:ascii="Arial" w:hAnsi="Arial" w:cs="Arial"/>
        </w:rPr>
        <w:t>.</w:t>
      </w:r>
      <w:r w:rsidRPr="00DA47FD">
        <w:rPr>
          <w:rFonts w:ascii="Arial" w:hAnsi="Arial" w:cs="Arial"/>
        </w:rPr>
        <w:t xml:space="preserve"> maddesinde ve </w:t>
      </w:r>
      <w:r w:rsidRPr="00A02627">
        <w:rPr>
          <w:rFonts w:ascii="Arial" w:hAnsi="Arial" w:cs="Arial"/>
        </w:rPr>
        <w:t>Avrupa</w:t>
      </w:r>
      <w:r w:rsidRPr="00DA47FD">
        <w:rPr>
          <w:rFonts w:ascii="Arial" w:hAnsi="Arial" w:cs="Arial"/>
        </w:rPr>
        <w:t xml:space="preserve"> İnsan Hakları Sözleşmesi'nin 6</w:t>
      </w:r>
      <w:r w:rsidR="00A02627">
        <w:rPr>
          <w:rFonts w:ascii="Arial" w:hAnsi="Arial" w:cs="Arial"/>
        </w:rPr>
        <w:t>.</w:t>
      </w:r>
      <w:r w:rsidRPr="00DA47FD">
        <w:rPr>
          <w:rFonts w:ascii="Arial" w:hAnsi="Arial" w:cs="Arial"/>
        </w:rPr>
        <w:t xml:space="preserve"> maddesinde düzenlenen “adil yargılanma </w:t>
      </w:r>
      <w:proofErr w:type="spellStart"/>
      <w:r w:rsidRPr="00DA47FD">
        <w:rPr>
          <w:rFonts w:ascii="Arial" w:hAnsi="Arial" w:cs="Arial"/>
        </w:rPr>
        <w:t>hakkı”nın</w:t>
      </w:r>
      <w:proofErr w:type="spellEnd"/>
      <w:r w:rsidRPr="00DA47FD">
        <w:rPr>
          <w:rFonts w:ascii="Arial" w:hAnsi="Arial" w:cs="Arial"/>
        </w:rPr>
        <w:t>; yargılamaların adil ve tarafsız bir şekilde yürütülmesini sağlayarak, insan hak ve özgürlükleri</w:t>
      </w:r>
      <w:r w:rsidR="00671F3A" w:rsidRPr="00DA47FD">
        <w:rPr>
          <w:rFonts w:ascii="Arial" w:hAnsi="Arial" w:cs="Arial"/>
        </w:rPr>
        <w:t xml:space="preserve">nin güvencesi olduğunu, </w:t>
      </w:r>
      <w:r w:rsidRPr="00DA47FD">
        <w:rPr>
          <w:rFonts w:ascii="Arial" w:hAnsi="Arial" w:cs="Arial"/>
        </w:rPr>
        <w:t>davaların mümkün olan süratle sonuçlandırı</w:t>
      </w:r>
      <w:r w:rsidR="00E33F7C" w:rsidRPr="00DA47FD">
        <w:rPr>
          <w:rFonts w:ascii="Arial" w:hAnsi="Arial" w:cs="Arial"/>
        </w:rPr>
        <w:t>lmasının yargının görevi olduğu</w:t>
      </w:r>
      <w:r w:rsidR="00671F3A" w:rsidRPr="00DA47FD">
        <w:rPr>
          <w:rFonts w:ascii="Arial" w:hAnsi="Arial" w:cs="Arial"/>
        </w:rPr>
        <w:t xml:space="preserve">nu belirtmişti. </w:t>
      </w:r>
      <w:proofErr w:type="gramEnd"/>
    </w:p>
    <w:p w:rsidR="00E33F7C" w:rsidRPr="00DA47FD" w:rsidRDefault="00E33F7C" w:rsidP="008F1B08">
      <w:pPr>
        <w:jc w:val="both"/>
        <w:rPr>
          <w:rFonts w:ascii="Arial" w:hAnsi="Arial" w:cs="Arial"/>
        </w:rPr>
      </w:pPr>
      <w:r w:rsidRPr="00DA47FD">
        <w:rPr>
          <w:rFonts w:ascii="Arial" w:hAnsi="Arial" w:cs="Arial"/>
        </w:rPr>
        <w:t>30 Mayıs 2019 tar</w:t>
      </w:r>
      <w:r w:rsidR="00671F3A" w:rsidRPr="00DA47FD">
        <w:rPr>
          <w:rFonts w:ascii="Arial" w:hAnsi="Arial" w:cs="Arial"/>
        </w:rPr>
        <w:t>ihinde açıklanan Yargı Reformu S</w:t>
      </w:r>
      <w:r w:rsidRPr="00DA47FD">
        <w:rPr>
          <w:rFonts w:ascii="Arial" w:hAnsi="Arial" w:cs="Arial"/>
        </w:rPr>
        <w:t>trateji Belgesinde ise hedef süre uygulamasına da yer verilerek:</w:t>
      </w:r>
    </w:p>
    <w:tbl>
      <w:tblPr>
        <w:tblW w:w="0" w:type="auto"/>
        <w:tblInd w:w="-108" w:type="dxa"/>
        <w:tblLayout w:type="fixed"/>
        <w:tblLook w:val="0000"/>
      </w:tblPr>
      <w:tblGrid>
        <w:gridCol w:w="9180"/>
      </w:tblGrid>
      <w:tr w:rsidR="00671F3A" w:rsidRPr="00DA47FD" w:rsidTr="00DA47FD">
        <w:trPr>
          <w:trHeight w:val="269"/>
        </w:trPr>
        <w:tc>
          <w:tcPr>
            <w:tcW w:w="9180" w:type="dxa"/>
          </w:tcPr>
          <w:p w:rsidR="00671F3A" w:rsidRPr="00DA47FD" w:rsidRDefault="00671F3A" w:rsidP="002E39A9">
            <w:pPr>
              <w:jc w:val="both"/>
              <w:rPr>
                <w:rFonts w:ascii="Arial" w:hAnsi="Arial" w:cs="Arial"/>
              </w:rPr>
            </w:pPr>
            <w:r w:rsidRPr="00DA47FD">
              <w:rPr>
                <w:rFonts w:ascii="Arial" w:hAnsi="Arial" w:cs="Arial"/>
              </w:rPr>
              <w:t xml:space="preserve">“Yargıda Hedef Süre” uygulaması vasıtasıyla sistemin şeffaflığının artırılacağı ve makul sürede yargılanma hakkının daha etkin korunacağının hedeflendiği belirtilmiştir. Bu hedef doğrultusundaki faaliyetlerden biri ise </w:t>
            </w:r>
            <w:r w:rsidR="002E39A9">
              <w:rPr>
                <w:rFonts w:ascii="Arial" w:hAnsi="Arial" w:cs="Arial"/>
              </w:rPr>
              <w:t>h</w:t>
            </w:r>
            <w:r w:rsidRPr="00DA47FD">
              <w:rPr>
                <w:rFonts w:ascii="Arial" w:hAnsi="Arial" w:cs="Arial"/>
              </w:rPr>
              <w:t>edef süre uygulamasının takip edilmesi ve hedef süreyi aşan dosyalara yönelik önlemler alınması olmuştur.</w:t>
            </w:r>
          </w:p>
        </w:tc>
      </w:tr>
    </w:tbl>
    <w:p w:rsidR="00E33F7C" w:rsidRPr="00DA47FD" w:rsidRDefault="009C783B" w:rsidP="008F1B08">
      <w:pPr>
        <w:jc w:val="both"/>
        <w:rPr>
          <w:rFonts w:ascii="Arial" w:hAnsi="Arial" w:cs="Arial"/>
        </w:rPr>
      </w:pPr>
      <w:r w:rsidRPr="00DA47FD">
        <w:rPr>
          <w:rFonts w:ascii="Arial" w:hAnsi="Arial" w:cs="Arial"/>
        </w:rPr>
        <w:t>Tabloda görüldüğü üzere 06.01.2017 tarihinde ihraç edilen, hakkındaki komisyon kararı 18.04.2019 tarihinde verilen bir üyemiz için açılan davada hedeflenen azami yargılama süresi 955 gün olarak b</w:t>
      </w:r>
      <w:r w:rsidR="00671F3A" w:rsidRPr="00DA47FD">
        <w:rPr>
          <w:rFonts w:ascii="Arial" w:hAnsi="Arial" w:cs="Arial"/>
        </w:rPr>
        <w:t xml:space="preserve">elirtilmiştir. Adalet Bakanlığının tutturmayı hedeflediği sürenin anlamı adaletsizliktir. 12 üyemizin davalarına ilişkin hedef süre tablosundan anlaşılan </w:t>
      </w:r>
      <w:r w:rsidR="002E39A9">
        <w:rPr>
          <w:rFonts w:ascii="Arial" w:hAnsi="Arial" w:cs="Arial"/>
        </w:rPr>
        <w:t>h</w:t>
      </w:r>
      <w:r w:rsidRPr="00DA47FD">
        <w:rPr>
          <w:rFonts w:ascii="Arial" w:hAnsi="Arial" w:cs="Arial"/>
        </w:rPr>
        <w:t xml:space="preserve">edef süre uygulaması ile </w:t>
      </w:r>
      <w:r w:rsidR="00671F3A" w:rsidRPr="00DA47FD">
        <w:rPr>
          <w:rFonts w:ascii="Arial" w:hAnsi="Arial" w:cs="Arial"/>
        </w:rPr>
        <w:t xml:space="preserve">sağlanmak istenen şeffaflık </w:t>
      </w:r>
      <w:r w:rsidRPr="00DA47FD">
        <w:rPr>
          <w:rFonts w:ascii="Arial" w:hAnsi="Arial" w:cs="Arial"/>
        </w:rPr>
        <w:t>kamu g</w:t>
      </w:r>
      <w:r w:rsidR="00FC39DD">
        <w:rPr>
          <w:rFonts w:ascii="Arial" w:hAnsi="Arial" w:cs="Arial"/>
        </w:rPr>
        <w:t>ö</w:t>
      </w:r>
      <w:r w:rsidRPr="00DA47FD">
        <w:rPr>
          <w:rFonts w:ascii="Arial" w:hAnsi="Arial" w:cs="Arial"/>
        </w:rPr>
        <w:t>revinden ihraç edilen kamu emekçilerinin adalete erişme hakkı ola</w:t>
      </w:r>
      <w:r w:rsidR="00671F3A" w:rsidRPr="00DA47FD">
        <w:rPr>
          <w:rFonts w:ascii="Arial" w:hAnsi="Arial" w:cs="Arial"/>
        </w:rPr>
        <w:t xml:space="preserve">n yurttaşlar olarak görülmediğidir. </w:t>
      </w:r>
    </w:p>
    <w:p w:rsidR="00A64863" w:rsidRPr="00DA47FD" w:rsidRDefault="00A64863" w:rsidP="008F1B08">
      <w:pPr>
        <w:jc w:val="both"/>
        <w:rPr>
          <w:rFonts w:ascii="Arial" w:hAnsi="Arial" w:cs="Arial"/>
        </w:rPr>
      </w:pPr>
    </w:p>
    <w:tbl>
      <w:tblPr>
        <w:tblStyle w:val="TabloKlavuzu"/>
        <w:tblW w:w="0" w:type="auto"/>
        <w:tblLook w:val="04A0"/>
      </w:tblPr>
      <w:tblGrid>
        <w:gridCol w:w="704"/>
        <w:gridCol w:w="1318"/>
        <w:gridCol w:w="1701"/>
        <w:gridCol w:w="1439"/>
        <w:gridCol w:w="2480"/>
        <w:gridCol w:w="1042"/>
      </w:tblGrid>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lastRenderedPageBreak/>
              <w:t>KHK</w:t>
            </w:r>
          </w:p>
        </w:tc>
        <w:tc>
          <w:tcPr>
            <w:tcW w:w="1276"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t>İHRAÇ TAR.</w:t>
            </w:r>
          </w:p>
        </w:tc>
        <w:tc>
          <w:tcPr>
            <w:tcW w:w="1701"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t>OHAL Kom. Tar.</w:t>
            </w:r>
          </w:p>
        </w:tc>
        <w:tc>
          <w:tcPr>
            <w:tcW w:w="1439"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t>DAVA TARİHİ</w:t>
            </w:r>
          </w:p>
        </w:tc>
        <w:tc>
          <w:tcPr>
            <w:tcW w:w="2480"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t>MAHKEMESİ</w:t>
            </w:r>
          </w:p>
        </w:tc>
        <w:tc>
          <w:tcPr>
            <w:tcW w:w="1042" w:type="dxa"/>
            <w:noWrap/>
            <w:hideMark/>
          </w:tcPr>
          <w:p w:rsidR="00FF5708" w:rsidRPr="00DA47FD" w:rsidRDefault="00FF5708" w:rsidP="008F1B08">
            <w:pPr>
              <w:spacing w:after="160" w:line="259" w:lineRule="auto"/>
              <w:jc w:val="both"/>
              <w:rPr>
                <w:rFonts w:ascii="Arial" w:hAnsi="Arial" w:cs="Arial"/>
                <w:b/>
                <w:bCs/>
              </w:rPr>
            </w:pPr>
            <w:r w:rsidRPr="00DA47FD">
              <w:rPr>
                <w:rFonts w:ascii="Arial" w:hAnsi="Arial" w:cs="Arial"/>
                <w:b/>
                <w:bCs/>
              </w:rPr>
              <w:t xml:space="preserve">SÜRE </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692</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14.7.2017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4.10.2018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14.1.2019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22.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845 gün </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677</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22.10.2016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11.4.2019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21.6.2019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ANK. 22. İDARE MAH.</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815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692</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14.7.2017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21.2.2019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30.4.2019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ANK. 22. İDARE MAH.</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755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689</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29.4.2017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11.10.2018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21.1.2019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19.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775 gün </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675</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29.10.2016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22.11.2018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21.6.2019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21.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785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689</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29.4.2017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18.4.2019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19.6.2019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20.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685 gün</w:t>
            </w:r>
          </w:p>
        </w:tc>
      </w:tr>
      <w:tr w:rsidR="00FF5708" w:rsidRPr="00DA47FD" w:rsidTr="007E59B3">
        <w:trPr>
          <w:trHeight w:val="345"/>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677</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22.10.2016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18.4.2019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19.6.2019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21.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775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679</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6.1.2017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18.4.2019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26.6.2019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24.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955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677</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22.10.2016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11.10.2018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21.1.2019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20.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725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677</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22.10.2016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21.2.2019</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2.5.2019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ANK. 22. İDARE MAH.</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765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675</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29.10.2016</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11.10.2018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23.1.2019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19.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725 gün</w:t>
            </w:r>
          </w:p>
        </w:tc>
      </w:tr>
      <w:tr w:rsidR="00FF5708" w:rsidRPr="00DA47FD" w:rsidTr="007E59B3">
        <w:trPr>
          <w:trHeight w:val="300"/>
        </w:trPr>
        <w:tc>
          <w:tcPr>
            <w:tcW w:w="704"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692</w:t>
            </w:r>
          </w:p>
        </w:tc>
        <w:tc>
          <w:tcPr>
            <w:tcW w:w="1276"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14.7.2017</w:t>
            </w:r>
          </w:p>
        </w:tc>
        <w:tc>
          <w:tcPr>
            <w:tcW w:w="1701"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11.10.2018</w:t>
            </w:r>
          </w:p>
        </w:tc>
        <w:tc>
          <w:tcPr>
            <w:tcW w:w="1439"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14.1.2019</w:t>
            </w:r>
          </w:p>
        </w:tc>
        <w:tc>
          <w:tcPr>
            <w:tcW w:w="2480"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 xml:space="preserve">ANK. 21. İDARE MAH.  </w:t>
            </w:r>
          </w:p>
        </w:tc>
        <w:tc>
          <w:tcPr>
            <w:tcW w:w="1042" w:type="dxa"/>
            <w:noWrap/>
            <w:hideMark/>
          </w:tcPr>
          <w:p w:rsidR="00FF5708" w:rsidRPr="00DA47FD" w:rsidRDefault="00FF5708" w:rsidP="008F1B08">
            <w:pPr>
              <w:spacing w:after="160" w:line="259" w:lineRule="auto"/>
              <w:jc w:val="both"/>
              <w:rPr>
                <w:rFonts w:ascii="Arial" w:hAnsi="Arial" w:cs="Arial"/>
              </w:rPr>
            </w:pPr>
            <w:r w:rsidRPr="00DA47FD">
              <w:rPr>
                <w:rFonts w:ascii="Arial" w:hAnsi="Arial" w:cs="Arial"/>
              </w:rPr>
              <w:t>695 gün</w:t>
            </w:r>
          </w:p>
        </w:tc>
      </w:tr>
    </w:tbl>
    <w:p w:rsidR="00FF5708" w:rsidRPr="00DA47FD" w:rsidRDefault="00FF5708" w:rsidP="008F1B08">
      <w:pPr>
        <w:jc w:val="both"/>
        <w:rPr>
          <w:rFonts w:ascii="Arial" w:hAnsi="Arial" w:cs="Arial"/>
        </w:rPr>
      </w:pPr>
    </w:p>
    <w:p w:rsidR="007A64EF" w:rsidRPr="00DA47FD" w:rsidRDefault="009C783B" w:rsidP="008F1B08">
      <w:pPr>
        <w:jc w:val="both"/>
        <w:rPr>
          <w:rFonts w:ascii="Arial" w:hAnsi="Arial" w:cs="Arial"/>
        </w:rPr>
      </w:pPr>
      <w:r w:rsidRPr="00DA47FD">
        <w:rPr>
          <w:rFonts w:ascii="Arial" w:hAnsi="Arial" w:cs="Arial"/>
        </w:rPr>
        <w:t xml:space="preserve">Komisyon kararlarına karşı açılan davalarda </w:t>
      </w:r>
      <w:r w:rsidR="002E39A9">
        <w:rPr>
          <w:rFonts w:ascii="Arial" w:hAnsi="Arial" w:cs="Arial"/>
        </w:rPr>
        <w:t>k</w:t>
      </w:r>
      <w:r w:rsidR="00671F3A" w:rsidRPr="00DA47FD">
        <w:rPr>
          <w:rFonts w:ascii="Arial" w:hAnsi="Arial" w:cs="Arial"/>
        </w:rPr>
        <w:t xml:space="preserve">omisyon kararlarının </w:t>
      </w:r>
      <w:r w:rsidRPr="00DA47FD">
        <w:rPr>
          <w:rFonts w:ascii="Arial" w:hAnsi="Arial" w:cs="Arial"/>
        </w:rPr>
        <w:t>yürütülmesinin durdurulması taleplerimiz</w:t>
      </w:r>
      <w:r w:rsidR="00671F3A" w:rsidRPr="00DA47FD">
        <w:rPr>
          <w:rFonts w:ascii="Arial" w:hAnsi="Arial" w:cs="Arial"/>
        </w:rPr>
        <w:t>in</w:t>
      </w:r>
      <w:r w:rsidRPr="00DA47FD">
        <w:rPr>
          <w:rFonts w:ascii="Arial" w:hAnsi="Arial" w:cs="Arial"/>
        </w:rPr>
        <w:t xml:space="preserve"> </w:t>
      </w:r>
      <w:r w:rsidR="007A64EF" w:rsidRPr="00DA47FD">
        <w:rPr>
          <w:rFonts w:ascii="Arial" w:hAnsi="Arial" w:cs="Arial"/>
        </w:rPr>
        <w:t>in</w:t>
      </w:r>
      <w:r w:rsidR="00671F3A" w:rsidRPr="00DA47FD">
        <w:rPr>
          <w:rFonts w:ascii="Arial" w:hAnsi="Arial" w:cs="Arial"/>
        </w:rPr>
        <w:t xml:space="preserve">celenmeksizin reddedildiği bir önceki raporumuzda açıklanmıştır. </w:t>
      </w:r>
      <w:r w:rsidR="007A64EF" w:rsidRPr="00DA47FD">
        <w:rPr>
          <w:rFonts w:ascii="Arial" w:hAnsi="Arial" w:cs="Arial"/>
        </w:rPr>
        <w:t xml:space="preserve">Yürütmenin durdurulması talebimizin reddi kararının gerekçesi olarak 6755 </w:t>
      </w:r>
      <w:r w:rsidR="002E39A9">
        <w:rPr>
          <w:rFonts w:ascii="Arial" w:hAnsi="Arial" w:cs="Arial"/>
        </w:rPr>
        <w:t>S</w:t>
      </w:r>
      <w:r w:rsidR="007A64EF" w:rsidRPr="00DA47FD">
        <w:rPr>
          <w:rFonts w:ascii="Arial" w:hAnsi="Arial" w:cs="Arial"/>
        </w:rPr>
        <w:t>ayılı Kanunun 38. Maddesinin "Olağanüstü hal süresince yayımlanan kanun hükmünde kararnameler kapsamında alınan kararlar ve yapılan işlemler nedeniyle açılan davalarda yürütmenin durdurulmasına karar verilemez" hükmü gösterilmektedir. OHAL ka</w:t>
      </w:r>
      <w:r w:rsidR="002E39A9">
        <w:rPr>
          <w:rFonts w:ascii="Arial" w:hAnsi="Arial" w:cs="Arial"/>
        </w:rPr>
        <w:t>l</w:t>
      </w:r>
      <w:r w:rsidR="007A64EF" w:rsidRPr="00DA47FD">
        <w:rPr>
          <w:rFonts w:ascii="Arial" w:hAnsi="Arial" w:cs="Arial"/>
        </w:rPr>
        <w:t xml:space="preserve">ktıktan sonra OHAL rejiminin devamı </w:t>
      </w:r>
      <w:r w:rsidR="0059277C" w:rsidRPr="00DA47FD">
        <w:rPr>
          <w:rFonts w:ascii="Arial" w:hAnsi="Arial" w:cs="Arial"/>
        </w:rPr>
        <w:t xml:space="preserve">OHAL düzenlemeleri ile sürdürülmektedir.  </w:t>
      </w:r>
    </w:p>
    <w:p w:rsidR="009C783B" w:rsidRPr="00DA47FD" w:rsidRDefault="009C783B" w:rsidP="008F1B08">
      <w:pPr>
        <w:jc w:val="both"/>
        <w:rPr>
          <w:rFonts w:ascii="Arial" w:hAnsi="Arial" w:cs="Arial"/>
        </w:rPr>
      </w:pPr>
      <w:r w:rsidRPr="00DA47FD">
        <w:rPr>
          <w:rFonts w:ascii="Arial" w:hAnsi="Arial" w:cs="Arial"/>
        </w:rPr>
        <w:t>Bu şe</w:t>
      </w:r>
      <w:r w:rsidR="0059277C" w:rsidRPr="00DA47FD">
        <w:rPr>
          <w:rFonts w:ascii="Arial" w:hAnsi="Arial" w:cs="Arial"/>
        </w:rPr>
        <w:t>kliyle OHAL Komisyonu ile veya ö</w:t>
      </w:r>
      <w:r w:rsidRPr="00DA47FD">
        <w:rPr>
          <w:rFonts w:ascii="Arial" w:hAnsi="Arial" w:cs="Arial"/>
        </w:rPr>
        <w:t xml:space="preserve">zel </w:t>
      </w:r>
      <w:r w:rsidR="0059277C" w:rsidRPr="00DA47FD">
        <w:rPr>
          <w:rFonts w:ascii="Arial" w:hAnsi="Arial" w:cs="Arial"/>
        </w:rPr>
        <w:t xml:space="preserve">görevli ve </w:t>
      </w:r>
      <w:r w:rsidRPr="00DA47FD">
        <w:rPr>
          <w:rFonts w:ascii="Arial" w:hAnsi="Arial" w:cs="Arial"/>
        </w:rPr>
        <w:t xml:space="preserve">yetkili idare mahkemeleriyle, bu hedef sürelerle kamu emekçilerinin adalete erişimi mümkün olmadığı gibi, toplumun bir kesiminin temel haklarının ölçüsüzce askıya alındığı bir ülkede hiçbir yurttaşın hakkının güvencede olduğunu söylemek mümkün değildir. </w:t>
      </w:r>
    </w:p>
    <w:p w:rsidR="009C783B" w:rsidRPr="00DA47FD" w:rsidRDefault="009C783B" w:rsidP="008F1B08">
      <w:pPr>
        <w:jc w:val="both"/>
        <w:rPr>
          <w:rFonts w:ascii="Arial" w:hAnsi="Arial" w:cs="Arial"/>
        </w:rPr>
      </w:pPr>
      <w:r w:rsidRPr="00DA47FD">
        <w:rPr>
          <w:rFonts w:ascii="Arial" w:hAnsi="Arial" w:cs="Arial"/>
        </w:rPr>
        <w:t>Bu nedenlerle;</w:t>
      </w:r>
    </w:p>
    <w:p w:rsidR="004A3698" w:rsidRPr="00DA47FD" w:rsidRDefault="004A3698" w:rsidP="004A3698">
      <w:pPr>
        <w:jc w:val="both"/>
        <w:rPr>
          <w:rFonts w:ascii="Arial" w:hAnsi="Arial" w:cs="Arial"/>
        </w:rPr>
      </w:pPr>
      <w:r w:rsidRPr="00DA47FD">
        <w:rPr>
          <w:rFonts w:ascii="Arial" w:hAnsi="Arial" w:cs="Arial"/>
        </w:rPr>
        <w:t>Komisyon derhal lağvedilmeli, haksız ve hukuksuz ihraç edilen tüm kamu görevlileri</w:t>
      </w:r>
      <w:r w:rsidR="00A2372C">
        <w:rPr>
          <w:rFonts w:ascii="Arial" w:hAnsi="Arial" w:cs="Arial"/>
        </w:rPr>
        <w:t>nin</w:t>
      </w:r>
      <w:r w:rsidRPr="00DA47FD">
        <w:rPr>
          <w:rFonts w:ascii="Arial" w:hAnsi="Arial" w:cs="Arial"/>
        </w:rPr>
        <w:t xml:space="preserve"> bütün haklarıyla birlikte derhal görevlerine iade edilmesi sağlanmalıdır. Bu gerçekleşinceye ve hukuksuz ihraç edilen tüm kamu emekçileri görevlerine iade edilinceye kadar mücadele etmeye devam edeceğiz</w:t>
      </w:r>
      <w:r w:rsidR="00DA47FD" w:rsidRPr="00DA47FD">
        <w:rPr>
          <w:rFonts w:ascii="Arial" w:hAnsi="Arial" w:cs="Arial"/>
        </w:rPr>
        <w:t xml:space="preserve"> 12.07.2019</w:t>
      </w:r>
    </w:p>
    <w:p w:rsidR="00DA47FD" w:rsidRPr="00DA47FD" w:rsidRDefault="00DA47FD" w:rsidP="004A3698">
      <w:pPr>
        <w:jc w:val="both"/>
        <w:rPr>
          <w:rFonts w:ascii="Arial" w:hAnsi="Arial" w:cs="Arial"/>
        </w:rPr>
      </w:pPr>
    </w:p>
    <w:p w:rsidR="00DA47FD" w:rsidRPr="00DA47FD" w:rsidRDefault="00DA47FD" w:rsidP="004A3698">
      <w:pPr>
        <w:jc w:val="both"/>
        <w:rPr>
          <w:rFonts w:ascii="Arial" w:hAnsi="Arial" w:cs="Arial"/>
        </w:rPr>
      </w:pPr>
    </w:p>
    <w:p w:rsidR="00DA47FD" w:rsidRPr="00DA47FD" w:rsidRDefault="00DA47FD" w:rsidP="00DA47FD">
      <w:pPr>
        <w:ind w:left="4248" w:firstLine="708"/>
        <w:jc w:val="both"/>
        <w:rPr>
          <w:rFonts w:ascii="Arial" w:hAnsi="Arial" w:cs="Arial"/>
        </w:rPr>
      </w:pPr>
      <w:r w:rsidRPr="00DA47FD">
        <w:rPr>
          <w:rFonts w:ascii="Arial" w:hAnsi="Arial" w:cs="Arial"/>
        </w:rPr>
        <w:t>MERKEZ YÖNETİM KURULU</w:t>
      </w:r>
    </w:p>
    <w:p w:rsidR="009C783B" w:rsidRPr="00DA47FD" w:rsidRDefault="009C783B" w:rsidP="008F1B08">
      <w:pPr>
        <w:jc w:val="both"/>
        <w:rPr>
          <w:rFonts w:ascii="Arial" w:hAnsi="Arial" w:cs="Arial"/>
        </w:rPr>
      </w:pPr>
    </w:p>
    <w:p w:rsidR="007A64EF" w:rsidRPr="00DA47FD" w:rsidRDefault="007A64EF" w:rsidP="008F1B08">
      <w:pPr>
        <w:jc w:val="both"/>
        <w:rPr>
          <w:rFonts w:ascii="Arial" w:hAnsi="Arial" w:cs="Arial"/>
        </w:rPr>
      </w:pPr>
    </w:p>
    <w:bookmarkEnd w:id="0"/>
    <w:p w:rsidR="005254FE" w:rsidRPr="00DA47FD" w:rsidRDefault="005254FE" w:rsidP="008F1B08">
      <w:pPr>
        <w:jc w:val="both"/>
        <w:rPr>
          <w:rFonts w:ascii="Arial" w:hAnsi="Arial" w:cs="Arial"/>
        </w:rPr>
      </w:pPr>
    </w:p>
    <w:sectPr w:rsidR="005254FE" w:rsidRPr="00DA47FD" w:rsidSect="00182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863"/>
    <w:rsid w:val="000167A6"/>
    <w:rsid w:val="00182EF2"/>
    <w:rsid w:val="002E39A9"/>
    <w:rsid w:val="003543AA"/>
    <w:rsid w:val="00356309"/>
    <w:rsid w:val="003F762D"/>
    <w:rsid w:val="004A3698"/>
    <w:rsid w:val="005254FE"/>
    <w:rsid w:val="0059277C"/>
    <w:rsid w:val="00655AEB"/>
    <w:rsid w:val="00671F3A"/>
    <w:rsid w:val="007A64EF"/>
    <w:rsid w:val="00862A6C"/>
    <w:rsid w:val="008958F5"/>
    <w:rsid w:val="008F1B08"/>
    <w:rsid w:val="009108AA"/>
    <w:rsid w:val="009348F8"/>
    <w:rsid w:val="009C783B"/>
    <w:rsid w:val="00A02627"/>
    <w:rsid w:val="00A145A8"/>
    <w:rsid w:val="00A2372C"/>
    <w:rsid w:val="00A64863"/>
    <w:rsid w:val="00B40705"/>
    <w:rsid w:val="00C40831"/>
    <w:rsid w:val="00DA47FD"/>
    <w:rsid w:val="00E33F7C"/>
    <w:rsid w:val="00F16DDA"/>
    <w:rsid w:val="00FC39DD"/>
    <w:rsid w:val="00FF5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145A8"/>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F16D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D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0270494">
      <w:bodyDiv w:val="1"/>
      <w:marLeft w:val="0"/>
      <w:marRight w:val="0"/>
      <w:marTop w:val="0"/>
      <w:marBottom w:val="0"/>
      <w:divBdr>
        <w:top w:val="none" w:sz="0" w:space="0" w:color="auto"/>
        <w:left w:val="none" w:sz="0" w:space="0" w:color="auto"/>
        <w:bottom w:val="none" w:sz="0" w:space="0" w:color="auto"/>
        <w:right w:val="none" w:sz="0" w:space="0" w:color="auto"/>
      </w:divBdr>
    </w:div>
    <w:div w:id="928731811">
      <w:bodyDiv w:val="1"/>
      <w:marLeft w:val="0"/>
      <w:marRight w:val="0"/>
      <w:marTop w:val="0"/>
      <w:marBottom w:val="0"/>
      <w:divBdr>
        <w:top w:val="none" w:sz="0" w:space="0" w:color="auto"/>
        <w:left w:val="none" w:sz="0" w:space="0" w:color="auto"/>
        <w:bottom w:val="none" w:sz="0" w:space="0" w:color="auto"/>
        <w:right w:val="none" w:sz="0" w:space="0" w:color="auto"/>
      </w:divBdr>
    </w:div>
    <w:div w:id="9681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1093</Words>
  <Characters>6232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user11</cp:lastModifiedBy>
  <cp:revision>5</cp:revision>
  <cp:lastPrinted>2019-07-12T07:33:00Z</cp:lastPrinted>
  <dcterms:created xsi:type="dcterms:W3CDTF">2019-07-12T08:46:00Z</dcterms:created>
  <dcterms:modified xsi:type="dcterms:W3CDTF">2019-07-12T09:27:00Z</dcterms:modified>
</cp:coreProperties>
</file>